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DD9B8" w14:textId="701A26AD" w:rsidR="00A417A9" w:rsidRDefault="009C0972" w:rsidP="00A417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</w:t>
      </w:r>
    </w:p>
    <w:p w14:paraId="54461FE4" w14:textId="77777777" w:rsidR="00A417A9" w:rsidRDefault="00A417A9" w:rsidP="00A417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решения Думы города Пыть-Яха «Об отчете о деятельности</w:t>
      </w:r>
    </w:p>
    <w:p w14:paraId="21424293" w14:textId="77777777" w:rsidR="00A417A9" w:rsidRDefault="00A417A9" w:rsidP="00A417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Счетно-контрольной палаты города Пыть-Яха за 2024 год»</w:t>
      </w:r>
    </w:p>
    <w:p w14:paraId="0600C597" w14:textId="77777777" w:rsidR="00A417A9" w:rsidRDefault="00A417A9" w:rsidP="00A417A9">
      <w:r>
        <w:t xml:space="preserve"> </w:t>
      </w:r>
    </w:p>
    <w:p w14:paraId="66A8F092" w14:textId="0C68052D" w:rsidR="00A417A9" w:rsidRDefault="00A417A9" w:rsidP="00A417A9">
      <w:pPr>
        <w:tabs>
          <w:tab w:val="left" w:pos="540"/>
        </w:tabs>
        <w:spacing w:after="0" w:line="25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 о деятельности Счетно-контрольной палаты города Пыть-Яха за 2024 год подготовлен в соответствии с</w:t>
      </w:r>
      <w:r w:rsidR="00E245AF">
        <w:rPr>
          <w:rFonts w:ascii="Times New Roman" w:hAnsi="Times New Roman" w:cs="Times New Roman"/>
          <w:sz w:val="28"/>
          <w:szCs w:val="28"/>
        </w:rPr>
        <w:t>о статьей 19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(далее - Федеральный закон от 07.02.2011 № 6-ФЗ) и </w:t>
      </w:r>
      <w:r w:rsidR="00E245AF">
        <w:rPr>
          <w:rFonts w:ascii="Times New Roman" w:hAnsi="Times New Roman" w:cs="Times New Roman"/>
          <w:sz w:val="28"/>
          <w:szCs w:val="28"/>
        </w:rPr>
        <w:t xml:space="preserve">статьей 20 </w:t>
      </w:r>
      <w:r>
        <w:rPr>
          <w:rFonts w:ascii="Times New Roman" w:hAnsi="Times New Roman" w:cs="Times New Roman"/>
          <w:sz w:val="28"/>
          <w:szCs w:val="28"/>
        </w:rPr>
        <w:t>Положения о Счетно-контрольной палате города Пыть-Яха, утвержденного решением Думы города Пыть-Яха от 20.05.2022 № 78 «О Счетно-контрольной палате города Пыть-Яха» (далее – Положение о Счетно-контрольной палате).</w:t>
      </w:r>
    </w:p>
    <w:p w14:paraId="0D9B37BD" w14:textId="15E6DD5C" w:rsidR="009C0972" w:rsidRDefault="009C0972" w:rsidP="00A417A9">
      <w:pPr>
        <w:tabs>
          <w:tab w:val="left" w:pos="540"/>
        </w:tabs>
        <w:spacing w:after="0" w:line="25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972">
        <w:rPr>
          <w:rFonts w:ascii="Times New Roman" w:hAnsi="Times New Roman" w:cs="Times New Roman"/>
          <w:sz w:val="28"/>
          <w:szCs w:val="28"/>
        </w:rPr>
        <w:t>Отчете о деятельности Счетно-контрольной палаты города Пыть-Яха 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C0972">
        <w:rPr>
          <w:rFonts w:ascii="Times New Roman" w:hAnsi="Times New Roman" w:cs="Times New Roman"/>
          <w:sz w:val="28"/>
          <w:szCs w:val="28"/>
        </w:rPr>
        <w:t xml:space="preserve"> год утвержден приказом Счетно-контрольной палаты города Пыть-Яха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C0972">
        <w:rPr>
          <w:rFonts w:ascii="Times New Roman" w:hAnsi="Times New Roman" w:cs="Times New Roman"/>
          <w:sz w:val="28"/>
          <w:szCs w:val="28"/>
        </w:rPr>
        <w:t>1.0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C097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C09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C097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C0972">
        <w:rPr>
          <w:rFonts w:ascii="Times New Roman" w:hAnsi="Times New Roman" w:cs="Times New Roman"/>
          <w:sz w:val="28"/>
          <w:szCs w:val="28"/>
        </w:rPr>
        <w:t>-од «Об утверждении отчета о деятельности Счетно-контрольной палаты города Пыть-Яха 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C0972">
        <w:rPr>
          <w:rFonts w:ascii="Times New Roman" w:hAnsi="Times New Roman" w:cs="Times New Roman"/>
          <w:sz w:val="28"/>
          <w:szCs w:val="28"/>
        </w:rPr>
        <w:t xml:space="preserve"> год».</w:t>
      </w:r>
    </w:p>
    <w:p w14:paraId="7A21EC26" w14:textId="77777777" w:rsidR="00A417A9" w:rsidRDefault="00A417A9" w:rsidP="00A417A9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 Счетно-контрольной палаты города Пыть-Яха в отчётном периоде, как и ранее, заключались в контроле за соблюдением установленного порядка подготовки и рассмотрения проекта местного бюджета, отчёта о его исполнении, а также в проверке законности и результативности использования средств местного бюджета и муниципальной собственности.</w:t>
      </w:r>
    </w:p>
    <w:p w14:paraId="026D6937" w14:textId="77777777" w:rsidR="00A417A9" w:rsidRDefault="00A417A9" w:rsidP="00A417A9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Деятельность Счетно-контрольной палаты города Пыть-Яха была направлена не только на выявление, но и на предотвращение и предупреждение выявляемых нарушений в финансовой и имущественной сферах, формирование действенных и эффективных предложений по недопущению их в дальнейшем. Показатели деятельности за 2024 год представлены в отчёте.</w:t>
      </w:r>
    </w:p>
    <w:p w14:paraId="3A6A1CC0" w14:textId="77777777" w:rsidR="00A417A9" w:rsidRDefault="00A417A9" w:rsidP="00A417A9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DDCD51" w14:textId="77777777" w:rsidR="00A417A9" w:rsidRDefault="00A417A9" w:rsidP="00A417A9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EE5CBE" w14:textId="77777777" w:rsidR="00E06D76" w:rsidRDefault="00E06D76"/>
    <w:sectPr w:rsidR="00E06D76" w:rsidSect="00A417A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7A9"/>
    <w:rsid w:val="009C0972"/>
    <w:rsid w:val="00A417A9"/>
    <w:rsid w:val="00C00758"/>
    <w:rsid w:val="00C56781"/>
    <w:rsid w:val="00E06D76"/>
    <w:rsid w:val="00E2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F7CBD"/>
  <w15:chartTrackingRefBased/>
  <w15:docId w15:val="{8D0DE853-E1B1-4474-BC6A-64BA8336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7A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0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2025-02-10T11:44:00Z</dcterms:created>
  <dcterms:modified xsi:type="dcterms:W3CDTF">2025-11-25T05:39:00Z</dcterms:modified>
</cp:coreProperties>
</file>