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61561" w14:textId="77777777" w:rsidR="00A35BD4" w:rsidRPr="00A35BD4" w:rsidRDefault="00A35BD4" w:rsidP="00A35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6-ФЗ, статьей 9 Положения о Счетно-контрольной палате внешний муниципальный финансовый контроль осуществляется в форме контрольных и экспертно-аналитических мероприятий.</w:t>
      </w:r>
    </w:p>
    <w:p w14:paraId="17B0DE42" w14:textId="3C0F06A0" w:rsidR="00A35BD4" w:rsidRDefault="00A35BD4" w:rsidP="00A35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Основные задачи Счетно-контрольной палаты в отчетном периоде заключались в контроле за исполнением местного бюджета, соблюдением установленного порядка подготовки и рассмотрения проекта бюджета города, отчета о его исполнении, а также в проверке законности и результативности использования средств местного бюджета и муниципальной собственности.</w:t>
      </w:r>
      <w:bookmarkStart w:id="0" w:name="_GoBack"/>
      <w:bookmarkEnd w:id="0"/>
    </w:p>
    <w:p w14:paraId="3B3780E5" w14:textId="011A48C7" w:rsidR="00A35BD4" w:rsidRDefault="00A35BD4" w:rsidP="00A35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 xml:space="preserve">Всего в 2023 году </w:t>
      </w:r>
      <w:r w:rsidR="00B70BED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A35BD4">
        <w:rPr>
          <w:rFonts w:ascii="Times New Roman" w:hAnsi="Times New Roman" w:cs="Times New Roman"/>
          <w:sz w:val="28"/>
          <w:szCs w:val="28"/>
        </w:rPr>
        <w:t xml:space="preserve"> Счетно-контрольной палаты было проведено 170 мероприятий, из них: 11 контрольных и 7 экспертно-аналитических мероприятий (без учета заключений по результатам финансово-экономических экспертиз), подготовлено 152 экспертных заключений по результатам финансово-экономической экспертизы.</w:t>
      </w:r>
    </w:p>
    <w:p w14:paraId="4C8FBABB" w14:textId="77777777" w:rsidR="003376B7" w:rsidRDefault="003376B7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2AB05" w14:textId="487BB306" w:rsidR="00402014" w:rsidRDefault="00F36B3E" w:rsidP="00F36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3E">
        <w:rPr>
          <w:rFonts w:ascii="Times New Roman" w:hAnsi="Times New Roman" w:cs="Times New Roman"/>
          <w:sz w:val="28"/>
          <w:szCs w:val="28"/>
        </w:rPr>
        <w:t>Информация о проведенных контрольных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6"/>
        <w:gridCol w:w="3616"/>
        <w:gridCol w:w="2933"/>
      </w:tblGrid>
      <w:tr w:rsidR="004979DD" w14:paraId="4100B6EE" w14:textId="47AC6846" w:rsidTr="004979DD">
        <w:tc>
          <w:tcPr>
            <w:tcW w:w="3646" w:type="dxa"/>
          </w:tcPr>
          <w:p w14:paraId="4882C984" w14:textId="0C208F3C" w:rsidR="004979DD" w:rsidRDefault="004979DD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исполнение </w:t>
            </w:r>
          </w:p>
        </w:tc>
        <w:tc>
          <w:tcPr>
            <w:tcW w:w="3616" w:type="dxa"/>
          </w:tcPr>
          <w:p w14:paraId="5C79A01F" w14:textId="60BB4A18" w:rsidR="004979DD" w:rsidRDefault="004979DD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</w:t>
            </w:r>
          </w:p>
        </w:tc>
        <w:tc>
          <w:tcPr>
            <w:tcW w:w="2933" w:type="dxa"/>
          </w:tcPr>
          <w:p w14:paraId="3C291587" w14:textId="19C62961" w:rsidR="004979DD" w:rsidRDefault="004979DD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представлений</w:t>
            </w:r>
          </w:p>
        </w:tc>
      </w:tr>
      <w:tr w:rsidR="004979DD" w14:paraId="0AB64797" w14:textId="0F2BBC8E" w:rsidTr="004979DD">
        <w:tc>
          <w:tcPr>
            <w:tcW w:w="3646" w:type="dxa"/>
          </w:tcPr>
          <w:p w14:paraId="537690FE" w14:textId="572D2CF9" w:rsidR="004979DD" w:rsidRDefault="004979DD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16" w:type="dxa"/>
          </w:tcPr>
          <w:p w14:paraId="06A53386" w14:textId="22C23AF1" w:rsidR="004979DD" w:rsidRDefault="004979DD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33" w:type="dxa"/>
          </w:tcPr>
          <w:p w14:paraId="1BED4544" w14:textId="37570373" w:rsidR="004979DD" w:rsidRDefault="004979DD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383EC957" w14:textId="5BBED15D" w:rsidR="00A35BD4" w:rsidRDefault="00A35BD4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ABD20F" w14:textId="256B1AC1" w:rsidR="00A35BD4" w:rsidRDefault="00A35BD4" w:rsidP="00A35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3E">
        <w:rPr>
          <w:rFonts w:ascii="Times New Roman" w:hAnsi="Times New Roman" w:cs="Times New Roman"/>
          <w:sz w:val="28"/>
          <w:szCs w:val="28"/>
        </w:rPr>
        <w:t>Информация о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экспертно-аналитических</w:t>
      </w:r>
      <w:r w:rsidRPr="00F36B3E">
        <w:rPr>
          <w:rFonts w:ascii="Times New Roman" w:hAnsi="Times New Roman" w:cs="Times New Roman"/>
          <w:sz w:val="28"/>
          <w:szCs w:val="28"/>
        </w:rPr>
        <w:t xml:space="preserve">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35BD4" w14:paraId="54405F5C" w14:textId="77777777" w:rsidTr="00D826B7">
        <w:tc>
          <w:tcPr>
            <w:tcW w:w="5097" w:type="dxa"/>
          </w:tcPr>
          <w:p w14:paraId="3CA65760" w14:textId="38A7B09B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исполнение </w:t>
            </w:r>
          </w:p>
        </w:tc>
        <w:tc>
          <w:tcPr>
            <w:tcW w:w="5098" w:type="dxa"/>
          </w:tcPr>
          <w:p w14:paraId="5472D41E" w14:textId="142F0ECA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</w:t>
            </w:r>
          </w:p>
        </w:tc>
      </w:tr>
      <w:tr w:rsidR="00A35BD4" w14:paraId="0318AA64" w14:textId="77777777" w:rsidTr="00D826B7">
        <w:tc>
          <w:tcPr>
            <w:tcW w:w="5097" w:type="dxa"/>
          </w:tcPr>
          <w:p w14:paraId="44972BCE" w14:textId="6AED75FA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5098" w:type="dxa"/>
          </w:tcPr>
          <w:p w14:paraId="76786070" w14:textId="213D4AC6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14:paraId="4272D6EB" w14:textId="77777777" w:rsidR="00A35BD4" w:rsidRPr="00F36B3E" w:rsidRDefault="00A35BD4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5BD4" w:rsidRPr="00F36B3E" w:rsidSect="00F36B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3E"/>
    <w:rsid w:val="00282C8B"/>
    <w:rsid w:val="003376B7"/>
    <w:rsid w:val="00402014"/>
    <w:rsid w:val="004979DD"/>
    <w:rsid w:val="004F3615"/>
    <w:rsid w:val="00A35BD4"/>
    <w:rsid w:val="00AB23B3"/>
    <w:rsid w:val="00B70BED"/>
    <w:rsid w:val="00BA19A2"/>
    <w:rsid w:val="00CA40CB"/>
    <w:rsid w:val="00F36B3E"/>
    <w:rsid w:val="00F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0A7D"/>
  <w15:chartTrackingRefBased/>
  <w15:docId w15:val="{36D30708-7215-4406-9F47-DF65D1F8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2025-11-25T05:07:00Z</dcterms:created>
  <dcterms:modified xsi:type="dcterms:W3CDTF">2026-06-16T04:45:00Z</dcterms:modified>
</cp:coreProperties>
</file>